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w:t>
      </w:r>
    </w:p>
    <w:p>
      <w:r>
        <w:t>Bundesgericht (BGE), 2006-07-01, DE</w:t>
      </w:r>
    </w:p>
    <w:p>
      <w:r>
        <w:rPr>
          <w:b/>
        </w:rPr>
        <w:t xml:space="preserve">Quelle: </w:t>
      </w:r>
      <w:r>
        <w:t>https://mcp.opencaselaw.ch/entscheid/bge_136 III 1</w:t>
      </w:r>
    </w:p>
    <w:p>
      <w:r>
        <w:t>FR: ATF 136 III 1</w:t>
      </w:r>
    </w:p>
    <w:p>
      <w:r>
        <w:t>IT: DTF 136 III 1</w:t>
      </w:r>
    </w:p>
    <w:p>
      <w:pPr>
        <w:pStyle w:val="Heading2"/>
      </w:pPr>
      <w:r>
        <w:t>Regeste</w:t>
      </w:r>
    </w:p>
    <w:p>
      <w:r>
        <w:t>Regeste Art. 328 f. ZGB; Verwandtenunterstützung. Begriff der günstigen Verhältnisse (E. 4). Anwendungsfall, wenn es nicht um dauernde Unterstützung, sondern um eine Einzelleistung geht (E. 5).</w:t>
      </w:r>
    </w:p>
    <w:p>
      <w:pPr>
        <w:pStyle w:val="Heading2"/>
      </w:pPr>
      <w:r>
        <w:t>Erwägungen</w:t>
      </w:r>
    </w:p>
    <w:p>
      <w:r>
        <w:rPr>
          <w:b/>
        </w:rPr>
        <w:t>E. 2</w:t>
      </w:r>
    </w:p>
    <w:p>
      <w:r>
        <w:t>Das Kreisgericht hatte "günstige Verhältnisse" im Sinn von Art. 328 Abs. 1 ZGB bejaht. Es erwog, trotz hoher Unterhaltszahlungen von rund Fr. 80'000.- an die Ehefrau hätte das Vermögen des Beschwerdegegners in den letzten Jahren tendenziell noch zugenommen (Fr. 1'765'000.- im Jahr 2003, Fr. 1'839'000.- im Jahr 2004, Fr. 2'028'000.- im Jahr 2005); sodann bewohne er in der Schweiz und in Griechenland eigene Liegenschaften, die Unterhalt verursachten. Dies lasse darauf schliessen, dass er von Einnahmen leben könne, die nicht alle bekannt seien. Ohnehin sei er vermögend und lebe in günstigen Verhältnissen; auch die Altersvorsorge sei auf längere Zeit gesichert. Demgegenüber hat das Kantonsgericht befunden, es könne nicht von günstigen Verhältnissen ausgegangen werden. Gemäss den Steuerrechnungen 2003 bis 2005 und der Steuererklärung 2006 erziele der Beschwerdegegner einen Wertschriften- und Liegenschaftsertrag von rund Fr. 150'000.- pro Jahr; nach Abzug der Schuldzinsen von Fr. 95'000.- und der Unterhaltsbeiträge an die abgeschiedene Ehefrau von rund Fr. 80'000.- resultiere ein Minuseinkommen. Nach den Richtlinien der Schweizerischen Konferenz für Sozialhilfe (SKOS-Richtlinien) komme eine Unterstützungspflicht aber erst in Frage, wenn der verheiratete Pflichtige ein steuerbares Einkommen von über Fr. 180'000.- pro Jahr erziele. Ausgehend von einem Vermögen von Fr. 1'840'000.- wäre gemäss den SKOS-Richtlinien zwar ein Vermögensverzehr von Fr. 45'000.- pro Jahr zumutbar (1/30 des um den Freibetrag von Fr. 500'000.- verminderten Vermögens), aber dieser liege weit unterhalb der relevanten Einkommensschwelle. BGE 136 III 1 S. 3</w:t>
      </w:r>
    </w:p>
    <w:p>
      <w:r>
        <w:rPr>
          <w:b/>
        </w:rPr>
        <w:t>E. 3</w:t>
      </w:r>
    </w:p>
    <w:p>
      <w:r>
        <w:t>Wie bereits im kantonalen Verfahren bringt die Beschwerdeführerin auch vor Bundesgericht wiederum vor, gemäss Schlussrechnung für das Steuerjahr 2001 habe der Beschwerdegegner ein Vermögen von Fr. 5'932'000.- versteuert und gemäss Scheidungsurteil vom 18. Februar 2002 habe er ein solches von Fr. 6'300'000.- besessen. Gestützt auf diese Zahlen habe sie die Klage eingereicht und ursprünglich hätte der Beschwerdegegner seine Zahlungsfähigkeit auch gar nicht bestritten, sondern andere Gründe vorgebracht (Unbilligkeit wegen fehlenden Kontaktes mit dem Sohn). Die markante Vermögensverminderung gemäss den späteren Steuererklärungen lasse sich nicht allein mit der Scheidung erklären. Im Übrigen könne es sich der gesunde und erst 59-jährige Beschwerdeführer leisten, seit mehreren Jahren auf eine Erwerbsarbeit zu verzichten und mehrere Monate pro Jahr in seinem Haus in Griechenland zu verbringen. Seine finanzielle Gesamtsituation erlaube es ihm, ein wohlhabendes Leben zu führen, und er könne dieses Leben auch nach Bezahlung der eingeklagten einmaligen Summe für die seitens der Gemeinde vorfinanzierten Kosten weiterführen. Der Beschwerdegegner macht geltend, das Kantonsgericht habe seine Situation gestützt auf die Steuerrechnungen 2003 bis 2005 und die Steuererklärung 2006 korrekt beurteilt. Die Steuerrechnung 2001 sei irrelevant, weil die Unterstützungsleistungen später erfolgt seien. Sein Vermögen im Ausland sei berücksichtigt worden und es sei kein Platz für Spekulationen.</w:t>
      </w:r>
    </w:p>
    <w:p>
      <w:r>
        <w:rPr>
          <w:b/>
        </w:rPr>
        <w:t>E. 4</w:t>
      </w:r>
    </w:p>
    <w:p>
      <w:r>
        <w:t>Wer in günstigen Verhältnissen lebt, ist verpflichtet, Verwandte in auf- und absteigender Linie zu unterstützen, die ohne diesen Beistand in Not geraten würden ( Art. 328 Abs. 1 ZGB ). Nach der Rechtsprechung befindet sich in einer Notlage im Sinne dieser Bestimmung, wer sich das zum Lebensunterhalt Notwendige nicht mehr aus eigener Kraft verschaffen kann ( BGE 121 III 441 E. 3 S. 442). Der Unterstützungsanspruch geht in der Regel auf die Verschaffung von Nahrung, Kleidung, Wohnung sowie ärztlicher Betreuung und Heilmitteln bei Krankheit ( BGE 106 II 287 E. 3a S. 292; BGE 132 III 97 E. 2.2 S. 100), aber auch auf Beschaffung der Mittel, welche zur Deckung der Kosten für Aufenthalt und Behandlung Suchtabhängiger in einer Anstalt nötig sind. In diesem Zusammenhang liegt eine Notlage im Sinn des Gesetzes vor, wenn kein dem Behandlungsbedürfnis des Suchtkranken entsprechendes und anerkanntes Angebot an Behandlungsanstalten besteht, dessen Kosten BGE 136 III 1 S. 4 vom obligatorischen Krankenversicherer getragen werden; ebenso dürfte sie zu bejahen sein, wenn zwar eine solche Einrichtung besteht, die entsprechenden Kosten aber vom obligatorischen Krankenversicherer, etwa aufgrund eines Selbstbehalts des Versicherten, nicht voll übernommen werden ( BGE 133 III 507 E. 5.1 S. 509). In günstigen Verhältnissen im Sinn von Art. 328 Abs. 1 ZGB lebt, wer nebst den notwendigen Auslagen (wie Miet-/Hypothekarzins, Wohnnebenkosten, Krankenkassenprämien, Steuern, notwendige Berufsauslagen, Vorsorge- und eventuelle Pflegefallkosten) auch diejenigen Ausgaben tätigen kann, die weder notwendig noch nützlich zu sein brauchen, zur Führung eines gehobenen Lebensstils jedoch anfallen (wie Ausgaben in den Bereichen Reisen, Ferien, Kosmetik, Pflege, Mobilität, Gastronomie, Kultur, etc.; in diesem Sinne schon BGE 82 II 197 E. 2 S. 199), d.h. wer aufgrund seiner finanziellen Gesamtsituation ein wohlhabendes Leben führen kann (Urteil des Bundesgerichts 5C.186/2006 vom 21. November 2007 E. 3.2.3). Massgeblich für die Beurteilung dieser Gesamtsituation ist nicht nur das Einkommen, sondern auch das Vermögen. Ein Anspruch auf dessen ungeschmälerte Erhaltung besteht nur dann, wenn die Unterstützung das eigene Auskommen des Pflichtigen schon in naher Zukunft gefährdet ( BGE 132 III 97 E. 3.2 S. 105 f.). Zu berücksichtigen sind ferner auch die verwandtschaftlichen Beziehungen (Urteil 5C.186/2006 E. 3.2.3). Insgesamt sind alle sachlich wesentlichen Umstände des konkreten Einzelfalls zu berücksichtigen und eine den besonderen Verhältnissen angepasste Lösung zu finden ( BGE 132 III 97 E. 1 S. 99).</w:t>
      </w:r>
    </w:p>
    <w:p>
      <w:r>
        <w:rPr>
          <w:b/>
        </w:rPr>
        <w:t>E. 5</w:t>
      </w:r>
    </w:p>
    <w:p>
      <w:r>
        <w:t>Was das Element der verwandtschaftlichen Nähe anbelangt, so geht es im vorliegenden Fall um die Unterstützung eines erwachsenen Kindes, mithin um ein Familienmitglied ersten Grades in absteigender Linie. Zentraler ist im vorliegenden Einzelfall jedoch, dass es - anders als in den meisten Fällen, welche das Bundesgericht in der letzten Zeit zu beurteilen hatte - nicht um dauerhafte Unterstützungsleistungen, wie sie insbesondere bei der Altersunterstützung im Zusammenhang mit einer Langzeitpflege typisch sind, sondern im Wesentlichen um die einmaligen Kosten für eine Entwöhnungstherapie geht. In dieser konkreten Situation ist es keine den besonderen Verhältnissen und der finanziellen Gesamtsituation angepasste Lösung, wenn für eine einmalige Unterstützungsleistung das Vermögen in BGE 136 III 1 S. 5 Anwendung der SKOS-Richtlinien auf ein Dauereinkommen umgerechnet wird. Dass die gewählte Vorgehensweise für die einmalige Unterstützungsleistung unsachgemäss ist, zeigt sich insbesondere im Umstand, dass das auf der Basis des um die verlangte Unterstützung verminderten Vermögens berechnete Einkommen praktisch unverändert bliebe und sich insofern nicht sagen lässt, zufolge der Unterstützung könne sich der Beschwerdeführer seine angestammte Lebensführung nicht mehr leisten. Wie es sich bei dauerhafter Unterstützung, aber auch bei wiederholt anfallenden Einzelleistungen - namentlich bei immer wieder anfallenden Therapien des Sohnes, wenn das bevorschussende Gemeinwesen hierfür stets von neuem die Verwandtenunterstützungspflicht in Anspruch nehmen würde - verhielte, braucht vorliegend nicht diskutiert zu werden. Jedenfalls stellt der gewählte Berechnungsmodus für den konkret zu beurteilenden Einzelfall keine angepasste Lösung im Sinn der zitierten Rechtsprechung dar. Bereits angesichts des kantonal festgestellten Sachverhaltes liegt unabhängig von der Frage, ob das effektive Vermögen 2 Mio. Fr. oder 6 Mio. Fr. beträgt, auf der Hand, dass der Beschwerdegegner ein weit überdurchschnittliches Leben führen kann, scheint er doch je in einem Eigenheim zwei permanente Wohnsitze in der Schweiz und in Griechenland zu haben, ohne dass dies zu einer Vermögensverminderung führen würde. Indes hat das Kantonsgericht, indem es einfach das Vermögen auf ein Dauereinkommen umgerechnet hat, unbekümmert um die für die Verwandtenunterstützungspflicht geltende Untersuchungsmaxime (Art. 329 Abs. 3 i.V.m. Art. 280 Abs. 2 ZGB ) keine näheren Sachverhaltsfeststellungen getroffen, ob dem Beschwerdegegner aufgrund seiner finanziellen Gesamtsituation ein wohlhabendes Leben möglich ist und ob diese Lebensführung mit der Zahlung des einmaligen Betrages von Fr. 35'410.90 beeinträchtigt wäre. Zumal ohnehin weitere Anspruchsvoraussetzungen zu prüfen sind, welche das Kantonsgericht ausdrücklich offengelassen und zu denen es insbesondere auch keine Sachverhaltsfeststellungen getroffen hat (namentlich Unbilligkeitsgründe), ist die Sache deshalb zur Sachverhaltsergänzung und neuen Entscheidung im Sinn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